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исследования </w:t>
      </w:r>
      <w:r>
        <w:rPr>
          <w:rFonts w:ascii="DINPro" w:hAnsi="DINPro" w:cs="DINPro"/>
          <w:sz w:val="18"/>
          <w:szCs w:val="18"/>
        </w:rPr>
        <w:t xml:space="preserve">— оценить влияние </w:t>
      </w:r>
      <w:proofErr w:type="spellStart"/>
      <w:r>
        <w:rPr>
          <w:rFonts w:ascii="DINPro" w:hAnsi="DINPro" w:cs="DINPro"/>
          <w:sz w:val="18"/>
          <w:szCs w:val="18"/>
        </w:rPr>
        <w:t>аторвастатина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 активность тканевых, плазменных антиоксидантных ферментов и функцию эндотелия у больных со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стабильной стенокардией и постинфарктным кардиосклерозом.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 и методы. </w:t>
      </w:r>
      <w:r>
        <w:rPr>
          <w:rFonts w:ascii="DINPro" w:hAnsi="DINPro" w:cs="DINPro"/>
          <w:sz w:val="18"/>
          <w:szCs w:val="18"/>
        </w:rPr>
        <w:t>Обследовано 122 больных с ишемической болезнью сердца (ИБС) и 20 условно здоровых пациентов. Общепринятыми методами в плазме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крови определяли: содержание липидов, продуктов их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перекисного окисления (ПОЛ) — диеновых </w:t>
      </w:r>
      <w:proofErr w:type="spellStart"/>
      <w:r>
        <w:rPr>
          <w:rFonts w:ascii="DINPro" w:hAnsi="DINPro" w:cs="DINPro"/>
          <w:sz w:val="18"/>
          <w:szCs w:val="18"/>
        </w:rPr>
        <w:t>конъюгатов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(ДК) и продуктов, реагирующих с</w:t>
      </w:r>
      <w:r>
        <w:rPr>
          <w:rFonts w:ascii="DINPro" w:hAnsi="DINPro" w:cs="DINPro"/>
          <w:sz w:val="18"/>
          <w:szCs w:val="18"/>
        </w:rPr>
        <w:t xml:space="preserve"> 2-</w:t>
      </w:r>
      <w:r>
        <w:rPr>
          <w:rFonts w:ascii="DINPro" w:hAnsi="DINPro" w:cs="DINPro"/>
          <w:sz w:val="18"/>
          <w:szCs w:val="18"/>
        </w:rPr>
        <w:t>тиобарбитуровой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кислотой (ТБК-РП), тканевых антиоксидантных ферментов </w:t>
      </w:r>
      <w:proofErr w:type="spellStart"/>
      <w:r>
        <w:rPr>
          <w:rFonts w:ascii="DINPro" w:hAnsi="DINPro" w:cs="DINPro"/>
          <w:sz w:val="18"/>
          <w:szCs w:val="18"/>
        </w:rPr>
        <w:t>глутатионпероксидазы</w:t>
      </w:r>
      <w:proofErr w:type="spellEnd"/>
      <w:r>
        <w:rPr>
          <w:rFonts w:ascii="DINPro" w:hAnsi="DINPro" w:cs="DINPro"/>
          <w:sz w:val="18"/>
          <w:szCs w:val="18"/>
        </w:rPr>
        <w:t xml:space="preserve"> (ГП) и </w:t>
      </w:r>
      <w:proofErr w:type="spellStart"/>
      <w:r>
        <w:rPr>
          <w:rFonts w:ascii="DINPro" w:hAnsi="DINPro" w:cs="DINPro"/>
          <w:sz w:val="18"/>
          <w:szCs w:val="18"/>
        </w:rPr>
        <w:t>супероксиддисмутазы</w:t>
      </w:r>
      <w:proofErr w:type="spellEnd"/>
      <w:r>
        <w:rPr>
          <w:rFonts w:ascii="DINPro" w:hAnsi="DINPro" w:cs="DINPro"/>
          <w:sz w:val="18"/>
          <w:szCs w:val="18"/>
        </w:rPr>
        <w:t xml:space="preserve"> (СОД) в эритроцитах, активность антиоксидантной системы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церулоплазмин</w:t>
      </w:r>
      <w:proofErr w:type="spellEnd"/>
      <w:r>
        <w:rPr>
          <w:rFonts w:ascii="DINPro" w:hAnsi="DINPro" w:cs="DINPro"/>
          <w:sz w:val="18"/>
          <w:szCs w:val="18"/>
        </w:rPr>
        <w:t>/</w:t>
      </w:r>
      <w:proofErr w:type="spellStart"/>
      <w:r>
        <w:rPr>
          <w:rFonts w:ascii="DINPro" w:hAnsi="DINPro" w:cs="DINPro"/>
          <w:sz w:val="18"/>
          <w:szCs w:val="18"/>
        </w:rPr>
        <w:t>трансферрин</w:t>
      </w:r>
      <w:proofErr w:type="spellEnd"/>
      <w:r>
        <w:rPr>
          <w:rFonts w:ascii="DINPro" w:hAnsi="DINPro" w:cs="DINPro"/>
          <w:sz w:val="18"/>
          <w:szCs w:val="18"/>
        </w:rPr>
        <w:t xml:space="preserve"> (АОС ЦП</w:t>
      </w:r>
      <w:r>
        <w:rPr>
          <w:rFonts w:ascii="DINPro" w:hAnsi="DINPro" w:cs="DINPro"/>
          <w:sz w:val="18"/>
          <w:szCs w:val="18"/>
        </w:rPr>
        <w:t>/</w:t>
      </w:r>
      <w:r>
        <w:rPr>
          <w:rFonts w:ascii="DINPro" w:hAnsi="DINPro" w:cs="DINPro"/>
          <w:sz w:val="18"/>
          <w:szCs w:val="18"/>
        </w:rPr>
        <w:t>ТФ) в плазме крови — методом электронного парамагнитного резонанса. Эндотелиальную функцию изучали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ультразвуковым методом с оценкой </w:t>
      </w:r>
      <w:proofErr w:type="spellStart"/>
      <w:r>
        <w:rPr>
          <w:rFonts w:ascii="DINPro" w:hAnsi="DINPro" w:cs="DINPro"/>
          <w:sz w:val="18"/>
          <w:szCs w:val="18"/>
        </w:rPr>
        <w:t>эндотелийзависимой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вазодилятацией</w:t>
      </w:r>
      <w:proofErr w:type="spellEnd"/>
      <w:r>
        <w:rPr>
          <w:rFonts w:ascii="DINPro" w:hAnsi="DINPro" w:cs="DINPro"/>
          <w:sz w:val="18"/>
          <w:szCs w:val="18"/>
        </w:rPr>
        <w:t xml:space="preserve"> (ЭЗВД) по методике</w:t>
      </w:r>
      <w:r>
        <w:rPr>
          <w:rFonts w:ascii="DINPro" w:hAnsi="DINPro" w:cs="DINPro"/>
          <w:sz w:val="18"/>
          <w:szCs w:val="18"/>
        </w:rPr>
        <w:t xml:space="preserve"> D. </w:t>
      </w:r>
      <w:proofErr w:type="spellStart"/>
      <w:r>
        <w:rPr>
          <w:rFonts w:ascii="DINPro" w:hAnsi="DINPro" w:cs="DINPro"/>
          <w:sz w:val="18"/>
          <w:szCs w:val="18"/>
        </w:rPr>
        <w:t>Celermajer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et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al</w:t>
      </w:r>
      <w:proofErr w:type="spellEnd"/>
      <w:r>
        <w:rPr>
          <w:rFonts w:ascii="DINPro" w:hAnsi="DINPro" w:cs="DINPro"/>
          <w:sz w:val="18"/>
          <w:szCs w:val="18"/>
        </w:rPr>
        <w:t>.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 xml:space="preserve">У больных со стабильной ИБС с </w:t>
      </w:r>
      <w:proofErr w:type="spellStart"/>
      <w:r>
        <w:rPr>
          <w:rFonts w:ascii="DINPro" w:hAnsi="DINPro" w:cs="DINPro"/>
          <w:sz w:val="18"/>
          <w:szCs w:val="18"/>
        </w:rPr>
        <w:t>дислипидемией</w:t>
      </w:r>
      <w:proofErr w:type="spellEnd"/>
      <w:r>
        <w:rPr>
          <w:rFonts w:ascii="DINPro" w:hAnsi="DINPro" w:cs="DINPro"/>
          <w:sz w:val="18"/>
          <w:szCs w:val="18"/>
        </w:rPr>
        <w:t xml:space="preserve"> (ДЛП) выявлена интенсификация процессов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ПОЛ в виде увеличения содержания ДК на 77 %, ТБК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РП на 58 % и нарушения ферментативной регуляции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метаболизма активных форм кислорода (АФК): снижение активности АОС ЦП/ТФ на 33 %, СОД на 25 % и ГП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на 39 % по сравнению с таковыми у лиц контрольной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группы. На фоне приема </w:t>
      </w:r>
      <w:proofErr w:type="spellStart"/>
      <w:r>
        <w:rPr>
          <w:rFonts w:ascii="DINPro" w:hAnsi="DINPro" w:cs="DINPro"/>
          <w:sz w:val="18"/>
          <w:szCs w:val="18"/>
        </w:rPr>
        <w:t>аторвастатина</w:t>
      </w:r>
      <w:proofErr w:type="spellEnd"/>
      <w:r>
        <w:rPr>
          <w:rFonts w:ascii="DINPro" w:hAnsi="DINPro" w:cs="DINPro"/>
          <w:sz w:val="18"/>
          <w:szCs w:val="18"/>
        </w:rPr>
        <w:t xml:space="preserve"> в дозе 20–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40 мг/</w:t>
      </w:r>
      <w:proofErr w:type="spellStart"/>
      <w:r>
        <w:rPr>
          <w:rFonts w:ascii="DINPro" w:hAnsi="DINPro" w:cs="DINPro"/>
          <w:sz w:val="18"/>
          <w:szCs w:val="18"/>
        </w:rPr>
        <w:t>сут</w:t>
      </w:r>
      <w:proofErr w:type="spellEnd"/>
      <w:r>
        <w:rPr>
          <w:rFonts w:ascii="DINPro" w:hAnsi="DINPro" w:cs="DINPro"/>
          <w:sz w:val="18"/>
          <w:szCs w:val="18"/>
        </w:rPr>
        <w:t xml:space="preserve"> в течение 6 месяцев в комплексной кардиальной терапии уровень СОД достоверно увеличился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на 16 %, ГП — на 60 %, активность АОС ЦП/ТФ — 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12,5 %, уровень ДК снизился на 40 %, а ТБК-РП — на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32 %, ЭЗВД улучшилась на 36 %.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proofErr w:type="spellStart"/>
      <w:r>
        <w:rPr>
          <w:rFonts w:ascii="DINPro" w:hAnsi="DINPro" w:cs="DINPro"/>
          <w:sz w:val="18"/>
          <w:szCs w:val="18"/>
        </w:rPr>
        <w:t>Аторвастатин</w:t>
      </w:r>
      <w:proofErr w:type="spellEnd"/>
      <w:r>
        <w:rPr>
          <w:rFonts w:ascii="DINPro" w:hAnsi="DINPro" w:cs="DINPro"/>
          <w:sz w:val="18"/>
          <w:szCs w:val="18"/>
        </w:rPr>
        <w:t xml:space="preserve"> в комплексной кардиальной терапии у 90 % больных со стабильной ИБС с про-</w:t>
      </w:r>
    </w:p>
    <w:p w:rsid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явлениями </w:t>
      </w:r>
      <w:proofErr w:type="spellStart"/>
      <w:r>
        <w:rPr>
          <w:rFonts w:ascii="DINPro" w:hAnsi="DINPro" w:cs="DINPro"/>
          <w:sz w:val="18"/>
          <w:szCs w:val="18"/>
        </w:rPr>
        <w:t>оксидативного</w:t>
      </w:r>
      <w:proofErr w:type="spellEnd"/>
      <w:r>
        <w:rPr>
          <w:rFonts w:ascii="DINPro" w:hAnsi="DINPro" w:cs="DINPro"/>
          <w:sz w:val="18"/>
          <w:szCs w:val="18"/>
        </w:rPr>
        <w:t xml:space="preserve"> стресса обладает антиокси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 xml:space="preserve">дантной и </w:t>
      </w:r>
      <w:proofErr w:type="spellStart"/>
      <w:r>
        <w:rPr>
          <w:rFonts w:ascii="DINPro" w:hAnsi="DINPro" w:cs="DINPro"/>
          <w:sz w:val="18"/>
          <w:szCs w:val="18"/>
        </w:rPr>
        <w:t>антиперекисной</w:t>
      </w:r>
      <w:proofErr w:type="spellEnd"/>
      <w:r>
        <w:rPr>
          <w:rFonts w:ascii="DINPro" w:hAnsi="DINPro" w:cs="DINPro"/>
          <w:sz w:val="18"/>
          <w:szCs w:val="18"/>
        </w:rPr>
        <w:t xml:space="preserve"> активностью, улучшает</w:t>
      </w:r>
    </w:p>
    <w:p w:rsidR="00A202FD" w:rsidRPr="00383BCD" w:rsidRDefault="00383BCD" w:rsidP="00383BC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эндотелиальную функцию.</w:t>
      </w:r>
    </w:p>
    <w:sectPr w:rsidR="00A202FD" w:rsidRPr="0038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A202FD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2022-11-09T07:31:00Z</dcterms:created>
  <dcterms:modified xsi:type="dcterms:W3CDTF">2022-11-09T07:31:00Z</dcterms:modified>
</cp:coreProperties>
</file>